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26-171</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12</w:t>
      </w:r>
    </w:p>
    <w:p>
      <w:pPr>
        <w:spacing w:before="0" w:after="0" w:line="480"/>
        <w:ind w:left="120"/>
        <w:jc w:val="center"/>
      </w:pPr>
      <w:r>
        <w:rPr>
          <w:rFonts w:ascii="Times New Roman" w:hAnsi="Times New Roman"/>
          <w:b w:val="false"/>
          <w:i w:val="false"/>
          <w:color w:val="000000"/>
          <w:sz w:val="24"/>
        </w:rPr>
        <w:t>“General Accreditation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256.7 and 256.11</w:t>
      </w:r>
    </w:p>
    <w:p>
      <w:pPr>
        <w:spacing w:before="0" w:after="0" w:line="480"/>
        <w:ind w:left="120"/>
        <w:jc w:val="both"/>
      </w:pPr>
      <w:r>
        <w:rPr>
          <w:rFonts w:ascii="Times New Roman" w:hAnsi="Times New Roman"/>
          <w:b w:val="false"/>
          <w:i w:val="false"/>
          <w:color w:val="000000"/>
          <w:sz w:val="24"/>
        </w:rPr>
        <w:t>State or federal law(s) implemented by the rulemaking: Iowa Code sections 256.11 and 279.80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11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meet.google.com/qjc-zbvu-pmx</w:t>
              </w:r>
            </w:hyperlink>
            <w:r>
              <w:br/>
            </w:r>
            <w:r>
              <w:rPr>
                <w:rFonts w:ascii="Times New Roman" w:hAnsi="Times New Roman"/>
                <w:b w:val="false"/>
                <w:i w:val="false"/>
                <w:color w:val="000000"/>
                <w:sz w:val="14"/>
              </w:rPr>
              <w:t>Or dial: ‪(US) +1 410.995.8223</w:t>
            </w:r>
            <w:r>
              <w:br/>
            </w:r>
            <w:r>
              <w:rPr>
                <w:rFonts w:ascii="Times New Roman" w:hAnsi="Times New Roman"/>
                <w:b w:val="false"/>
                <w:i w:val="false"/>
                <w:color w:val="000000"/>
                <w:sz w:val="14"/>
              </w:rPr>
              <w:t>PIN: ‪697 039 136#</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 Rules Coordinator</w:t>
            </w:r>
            <w:r>
              <w:br/>
            </w:r>
            <w:r>
              <w:rPr>
                <w:rFonts w:ascii="Times New Roman" w:hAnsi="Times New Roman"/>
                <w:b w:val="false"/>
                <w:i w:val="false"/>
                <w:color w:val="000000"/>
                <w:sz w:val="14"/>
              </w:rPr>
              <w:t>Department of Education</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Following appellate decisions allowing 2023 Iowa Acts, Senate File 496, to take effect (e.g., </w:t>
      </w:r>
      <w:r>
        <w:rPr>
          <w:rFonts w:ascii="Times New Roman" w:hAnsi="Times New Roman"/>
          <w:b w:val="false"/>
          <w:i/>
          <w:color w:val="000000"/>
          <w:sz w:val="24"/>
        </w:rPr>
        <w:t>Iowa Safe Schools v. Reynolds</w:t>
      </w:r>
      <w:r>
        <w:rPr>
          <w:rFonts w:ascii="Times New Roman" w:hAnsi="Times New Roman"/>
          <w:b w:val="false"/>
          <w:i w:val="false"/>
          <w:color w:val="000000"/>
          <w:sz w:val="24"/>
        </w:rPr>
        <w:t>, 172 F.4th 589 (8th Cir. 2026)), this proposed rulemaking provides further clarity in enforcement.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School districts, nonpublic schools, and the Department will bear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Schools and families will benefit from the clarity this proposed rulemaking will provide.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an unquantifiable qualitative impact associated with increased rule clarity.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will bear routine enforcement costs (e.g., the costs of monitoring and enforcing any school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effects were noted or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statute requires rules, so no comparison is necessary.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statute requires rules, so no determination was made.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statute requires rules, so no alternatives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statute requires rules, so no alternatives were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known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subparagraph </w:t>
      </w:r>
      <w:r>
        <w:rPr>
          <w:rFonts w:ascii="Times New Roman" w:hAnsi="Times New Roman"/>
          <w:b/>
          <w:i w:val="false"/>
          <w:color w:val="000000"/>
          <w:sz w:val="24"/>
        </w:rPr>
        <w:t>12.3(10)“c”(5)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 any complaint about library material, a complainant must inform the department of the specific title, the specific page (or means of locating information in nonprint materials), and the nature of the content alleged to be in violation of this paragraph.</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12.3(15)“d”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This subrule applies only to mandatory portions of a district’s curriculum.</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qjc-zbvu-pmx" Type="http://schemas.openxmlformats.org/officeDocument/2006/relationships/hyperlink" Id="rId4"/>
    <Relationship TargetMode="External" Target="mailto:thomas.mayes@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